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F" w:rsidRPr="008A4350" w:rsidRDefault="00B6060F" w:rsidP="004A4FAD">
      <w:pPr>
        <w:jc w:val="center"/>
        <w:rPr>
          <w:rFonts w:ascii="Arabic Typesetting" w:hAnsi="Arabic Typesetting" w:cs="Arabic Typesetting"/>
          <w:b/>
          <w:noProof/>
          <w:color w:val="C00000"/>
          <w:sz w:val="52"/>
          <w:szCs w:val="52"/>
          <w:lang w:eastAsia="pl-PL"/>
        </w:rPr>
      </w:pPr>
      <w:r w:rsidRPr="008A4350">
        <w:rPr>
          <w:rFonts w:ascii="Arabic Typesetting" w:hAnsi="Arabic Typesetting" w:cs="Arabic Typesetting"/>
          <w:b/>
          <w:noProof/>
          <w:color w:val="C00000"/>
          <w:sz w:val="52"/>
          <w:szCs w:val="52"/>
          <w:lang w:eastAsia="pl-PL"/>
        </w:rPr>
        <w:t>ŚWIATOWY DZIEŃ KSIĄŻKI I PRAW AUTORSKICH</w:t>
      </w:r>
    </w:p>
    <w:p w:rsidR="00B6060F" w:rsidRDefault="00B6060F">
      <w:pPr>
        <w:rPr>
          <w:noProof/>
          <w:lang w:eastAsia="pl-PL"/>
        </w:rPr>
      </w:pPr>
    </w:p>
    <w:p w:rsidR="00EA500B" w:rsidRDefault="00B6060F">
      <w:r>
        <w:rPr>
          <w:noProof/>
          <w:lang w:eastAsia="pl-PL"/>
        </w:rPr>
        <w:drawing>
          <wp:inline distT="0" distB="0" distL="0" distR="0" wp14:anchorId="556B1FD2" wp14:editId="09B09355">
            <wp:extent cx="5760720" cy="3840480"/>
            <wp:effectExtent l="0" t="0" r="0" b="7620"/>
            <wp:docPr id="1" name="Obraz 1" descr="https://cdn.pixabay.com/photo/2018/03/04/23/32/book-319961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8/03/04/23/32/book-3199610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8B" w:rsidRDefault="00137039" w:rsidP="00C1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mgrc=X6jwWN5LpCfUnM:" w:history="1"/>
    </w:p>
    <w:p w:rsidR="00C1598B" w:rsidRDefault="00C1598B" w:rsidP="00C1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FAD" w:rsidRDefault="004A4FAD" w:rsidP="00C1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FAD" w:rsidRPr="008A0E7F" w:rsidRDefault="004A4FAD" w:rsidP="00C1598B">
      <w:pPr>
        <w:spacing w:after="0" w:line="240" w:lineRule="auto"/>
        <w:rPr>
          <w:rFonts w:ascii="Arabic Typesetting" w:eastAsia="Times New Roman" w:hAnsi="Arabic Typesetting" w:cs="Arabic Typesetting"/>
          <w:b/>
          <w:sz w:val="48"/>
          <w:szCs w:val="48"/>
          <w:lang w:eastAsia="pl-PL"/>
        </w:rPr>
      </w:pPr>
    </w:p>
    <w:p w:rsidR="001E5347" w:rsidRDefault="00C1598B" w:rsidP="00CB1E0C">
      <w:pPr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lang w:eastAsia="pl-PL"/>
        </w:rPr>
      </w:pPr>
      <w:r w:rsidRPr="008A0E7F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pl-PL"/>
        </w:rPr>
        <w:t>Światowy Dzień Książki i Praw Autorskich</w:t>
      </w:r>
      <w:r w:rsidR="004A4FAD" w:rsidRPr="008A0E7F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pl-PL"/>
        </w:rPr>
        <w:t xml:space="preserve"> </w:t>
      </w:r>
      <w:r w:rsidR="004A4FAD" w:rsidRPr="008A0E7F">
        <w:rPr>
          <w:rFonts w:ascii="Arabic Typesetting" w:eastAsia="Times New Roman" w:hAnsi="Arabic Typesetting" w:cs="Arabic Typesetting"/>
          <w:bCs/>
          <w:sz w:val="48"/>
          <w:szCs w:val="48"/>
          <w:lang w:eastAsia="pl-PL"/>
        </w:rPr>
        <w:t>obchodzony jest</w:t>
      </w:r>
      <w:r w:rsidRPr="008A0E7F">
        <w:rPr>
          <w:rFonts w:ascii="Arabic Typesetting" w:eastAsia="Times New Roman" w:hAnsi="Arabic Typesetting" w:cs="Arabic Typesetting"/>
          <w:sz w:val="48"/>
          <w:szCs w:val="48"/>
          <w:lang w:eastAsia="pl-PL"/>
        </w:rPr>
        <w:t xml:space="preserve"> </w:t>
      </w:r>
      <w:r w:rsidR="004A4FAD" w:rsidRPr="008A0E7F">
        <w:rPr>
          <w:rFonts w:ascii="Arabic Typesetting" w:eastAsia="Times New Roman" w:hAnsi="Arabic Typesetting" w:cs="Arabic Typesetting"/>
          <w:sz w:val="48"/>
          <w:szCs w:val="48"/>
          <w:lang w:eastAsia="pl-PL"/>
        </w:rPr>
        <w:t xml:space="preserve">corocznie </w:t>
      </w:r>
      <w:r w:rsidR="00CB1E0C" w:rsidRPr="008A0E7F">
        <w:rPr>
          <w:rFonts w:ascii="Arabic Typesetting" w:eastAsia="Times New Roman" w:hAnsi="Arabic Typesetting" w:cs="Arabic Typesetting"/>
          <w:sz w:val="48"/>
          <w:szCs w:val="48"/>
          <w:lang w:eastAsia="pl-PL"/>
        </w:rPr>
        <w:t xml:space="preserve">23 kwietnia. </w:t>
      </w:r>
      <w:r w:rsidRPr="008A0E7F">
        <w:rPr>
          <w:rFonts w:ascii="Arabic Typesetting" w:eastAsia="Times New Roman" w:hAnsi="Arabic Typesetting" w:cs="Arabic Typesetting"/>
          <w:sz w:val="48"/>
          <w:szCs w:val="48"/>
          <w:lang w:eastAsia="pl-PL"/>
        </w:rPr>
        <w:t xml:space="preserve">Celem święta jest promowanie czytelnictwa </w:t>
      </w:r>
      <w:r w:rsidR="008A0E7F" w:rsidRPr="008A0E7F">
        <w:rPr>
          <w:rFonts w:ascii="Arabic Typesetting" w:eastAsia="Times New Roman" w:hAnsi="Arabic Typesetting" w:cs="Arabic Typesetting"/>
          <w:sz w:val="48"/>
          <w:szCs w:val="48"/>
          <w:lang w:eastAsia="pl-PL"/>
        </w:rPr>
        <w:t xml:space="preserve">               </w:t>
      </w:r>
      <w:r w:rsidRPr="008A0E7F">
        <w:rPr>
          <w:rFonts w:ascii="Arabic Typesetting" w:eastAsia="Times New Roman" w:hAnsi="Arabic Typesetting" w:cs="Arabic Typesetting"/>
          <w:sz w:val="48"/>
          <w:szCs w:val="48"/>
          <w:lang w:eastAsia="pl-PL"/>
        </w:rPr>
        <w:t xml:space="preserve">oraz poruszanie problematyki </w:t>
      </w:r>
      <w:r w:rsidRPr="008A0E7F">
        <w:rPr>
          <w:rFonts w:ascii="Arabic Typesetting" w:eastAsia="Times New Roman" w:hAnsi="Arabic Typesetting" w:cs="Arabic Typesetting"/>
          <w:bCs/>
          <w:sz w:val="48"/>
          <w:szCs w:val="48"/>
          <w:lang w:eastAsia="pl-PL"/>
        </w:rPr>
        <w:t>praw autorskich</w:t>
      </w:r>
      <w:r w:rsidRPr="008A0E7F">
        <w:rPr>
          <w:rFonts w:ascii="Arabic Typesetting" w:eastAsia="Times New Roman" w:hAnsi="Arabic Typesetting" w:cs="Arabic Typesetting"/>
          <w:sz w:val="48"/>
          <w:szCs w:val="48"/>
          <w:lang w:eastAsia="pl-PL"/>
        </w:rPr>
        <w:t xml:space="preserve"> i ochrony własności intelektualnej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.</w:t>
      </w:r>
      <w:r w:rsidR="00CB1E0C"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</w:t>
      </w:r>
    </w:p>
    <w:p w:rsidR="00CB1E0C" w:rsidRPr="001E5347" w:rsidRDefault="00CB1E0C" w:rsidP="00CB1E0C">
      <w:pPr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lang w:eastAsia="pl-PL"/>
        </w:rPr>
      </w:pP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Święto 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ma swoje początki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w Katalonii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. Święty Jerzy to patron tego regionu. 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Zgodnie z tradycją tego dnia wręczano kobietom czerwone róże – symbol krwi smoka, którego pokonał Święty Jerzy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, 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kobiety 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zaś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ob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da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ro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w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ywały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mężczyzn książkam</w:t>
      </w:r>
      <w:r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i.</w:t>
      </w:r>
    </w:p>
    <w:p w:rsidR="00B262E9" w:rsidRPr="001E5347" w:rsidRDefault="007A40A6" w:rsidP="007A40A6">
      <w:pPr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lang w:eastAsia="pl-PL"/>
        </w:rPr>
      </w:pP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lastRenderedPageBreak/>
        <w:t>W całej Hiszpanii oficjalne obchody odbywają się już</w:t>
      </w:r>
      <w:r w:rsidR="00CB1E0C"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od 1930 r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oku, a od</w:t>
      </w:r>
      <w:r w:rsidR="00CB1E0C"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1995 roku </w:t>
      </w:r>
      <w:r w:rsidR="00B262E9"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uroczystości </w:t>
      </w:r>
      <w:r w:rsidRPr="001E5347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organizowane są</w:t>
      </w:r>
      <w:r w:rsidR="00CB1E0C" w:rsidRPr="00C1598B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przez UNESCO.</w:t>
      </w:r>
    </w:p>
    <w:p w:rsidR="00CB1E0C" w:rsidRPr="001E5347" w:rsidRDefault="007A40A6" w:rsidP="001E5347">
      <w:pPr>
        <w:spacing w:after="0" w:line="240" w:lineRule="auto"/>
        <w:rPr>
          <w:rFonts w:ascii="Arabic Typesetting" w:eastAsia="Times New Roman" w:hAnsi="Arabic Typesetting" w:cs="Arabic Typesetting"/>
          <w:color w:val="000000" w:themeColor="text1"/>
          <w:sz w:val="40"/>
          <w:szCs w:val="40"/>
          <w:lang w:eastAsia="pl-PL"/>
        </w:rPr>
      </w:pPr>
      <w:r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>D</w:t>
      </w:r>
      <w:r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>ata 23 kwietnia jest</w:t>
      </w:r>
      <w:r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ważna i</w:t>
      </w:r>
      <w:r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symboliczna</w:t>
      </w:r>
      <w:r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dla literatury światowej. W tym</w:t>
      </w:r>
      <w:r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d</w:t>
      </w:r>
      <w:r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>niu</w:t>
      </w:r>
      <w:r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</w:t>
      </w:r>
      <w:r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w 1616 roku </w:t>
      </w:r>
      <w:r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>zmarli wybitni poeci Miguel de Cervantes</w:t>
      </w:r>
      <w:r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i</w:t>
      </w:r>
      <w:r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William Szekspir</w:t>
      </w:r>
      <w:r w:rsidR="00773F31"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. </w:t>
      </w:r>
      <w:r w:rsidR="00137039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               </w:t>
      </w:r>
      <w:r w:rsidR="00773F31"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Jest to też </w:t>
      </w:r>
      <w:r w:rsidR="00773F31"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>ro</w:t>
      </w:r>
      <w:r w:rsidR="00773F31" w:rsidRPr="001E5347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>cznica urodzin innych</w:t>
      </w:r>
      <w:r w:rsidR="00773F31" w:rsidRPr="00C1598B">
        <w:rPr>
          <w:rFonts w:ascii="Arabic Typesetting" w:eastAsia="Times New Roman" w:hAnsi="Arabic Typesetting" w:cs="Arabic Typesetting"/>
          <w:sz w:val="40"/>
          <w:szCs w:val="40"/>
          <w:lang w:eastAsia="pl-PL"/>
        </w:rPr>
        <w:t xml:space="preserve"> wybitnych pisarzy, między </w:t>
      </w:r>
      <w:r w:rsidR="00773F31" w:rsidRPr="00C1598B">
        <w:rPr>
          <w:rFonts w:ascii="Arabic Typesetting" w:eastAsia="Times New Roman" w:hAnsi="Arabic Typesetting" w:cs="Arabic Typesetting"/>
          <w:color w:val="000000" w:themeColor="text1"/>
          <w:sz w:val="40"/>
          <w:szCs w:val="40"/>
          <w:lang w:eastAsia="pl-PL"/>
        </w:rPr>
        <w:t xml:space="preserve">innymi </w:t>
      </w:r>
      <w:hyperlink r:id="rId8" w:history="1">
        <w:r w:rsidR="00773F31" w:rsidRPr="00C1598B">
          <w:rPr>
            <w:rFonts w:ascii="Arabic Typesetting" w:eastAsia="Times New Roman" w:hAnsi="Arabic Typesetting" w:cs="Arabic Typesetting"/>
            <w:color w:val="000000" w:themeColor="text1"/>
            <w:sz w:val="40"/>
            <w:szCs w:val="40"/>
            <w:lang w:eastAsia="pl-PL"/>
          </w:rPr>
          <w:t>Vladimira Nabokova</w:t>
        </w:r>
        <w:r w:rsidR="00773F31" w:rsidRPr="001E5347">
          <w:rPr>
            <w:rFonts w:ascii="Arabic Typesetting" w:eastAsia="Times New Roman" w:hAnsi="Arabic Typesetting" w:cs="Arabic Typesetting"/>
            <w:color w:val="000000" w:themeColor="text1"/>
            <w:sz w:val="40"/>
            <w:szCs w:val="40"/>
            <w:lang w:eastAsia="pl-PL"/>
          </w:rPr>
          <w:t xml:space="preserve"> ( w 1899 roku)</w:t>
        </w:r>
        <w:r w:rsidR="00773F31" w:rsidRPr="00C1598B">
          <w:rPr>
            <w:rFonts w:ascii="Arabic Typesetting" w:eastAsia="Times New Roman" w:hAnsi="Arabic Typesetting" w:cs="Arabic Typesetting"/>
            <w:color w:val="000000" w:themeColor="text1"/>
            <w:sz w:val="40"/>
            <w:szCs w:val="40"/>
            <w:lang w:eastAsia="pl-PL"/>
          </w:rPr>
          <w:t> </w:t>
        </w:r>
      </w:hyperlink>
      <w:r w:rsidR="00773F31" w:rsidRPr="001E5347">
        <w:rPr>
          <w:rFonts w:ascii="Arabic Typesetting" w:eastAsia="Times New Roman" w:hAnsi="Arabic Typesetting" w:cs="Arabic Typesetting"/>
          <w:color w:val="000000" w:themeColor="text1"/>
          <w:sz w:val="40"/>
          <w:szCs w:val="40"/>
          <w:lang w:eastAsia="pl-PL"/>
        </w:rPr>
        <w:t>i</w:t>
      </w:r>
      <w:r w:rsidR="00773F31" w:rsidRPr="00C1598B">
        <w:rPr>
          <w:rFonts w:ascii="Arabic Typesetting" w:eastAsia="Times New Roman" w:hAnsi="Arabic Typesetting" w:cs="Arabic Typesetting"/>
          <w:color w:val="000000" w:themeColor="text1"/>
          <w:sz w:val="40"/>
          <w:szCs w:val="40"/>
          <w:lang w:eastAsia="pl-PL"/>
        </w:rPr>
        <w:t xml:space="preserve"> </w:t>
      </w:r>
      <w:hyperlink r:id="rId9" w:history="1">
        <w:r w:rsidR="00773F31" w:rsidRPr="00C1598B">
          <w:rPr>
            <w:rFonts w:ascii="Arabic Typesetting" w:eastAsia="Times New Roman" w:hAnsi="Arabic Typesetting" w:cs="Arabic Typesetting"/>
            <w:color w:val="000000" w:themeColor="text1"/>
            <w:sz w:val="40"/>
            <w:szCs w:val="40"/>
            <w:lang w:eastAsia="pl-PL"/>
          </w:rPr>
          <w:t xml:space="preserve">Maurice’a </w:t>
        </w:r>
        <w:bookmarkStart w:id="0" w:name="_GoBack"/>
        <w:bookmarkEnd w:id="0"/>
        <w:r w:rsidR="00773F31" w:rsidRPr="00C1598B">
          <w:rPr>
            <w:rFonts w:ascii="Arabic Typesetting" w:eastAsia="Times New Roman" w:hAnsi="Arabic Typesetting" w:cs="Arabic Typesetting"/>
            <w:color w:val="000000" w:themeColor="text1"/>
            <w:sz w:val="40"/>
            <w:szCs w:val="40"/>
            <w:lang w:eastAsia="pl-PL"/>
          </w:rPr>
          <w:t>Druona</w:t>
        </w:r>
      </w:hyperlink>
      <w:r w:rsidR="00773F31" w:rsidRPr="001E5347">
        <w:rPr>
          <w:rFonts w:ascii="Arabic Typesetting" w:eastAsia="Times New Roman" w:hAnsi="Arabic Typesetting" w:cs="Arabic Typesetting"/>
          <w:color w:val="000000" w:themeColor="text1"/>
          <w:sz w:val="40"/>
          <w:szCs w:val="40"/>
          <w:lang w:eastAsia="pl-PL"/>
        </w:rPr>
        <w:t xml:space="preserve"> ( w 1918 roku). </w:t>
      </w:r>
    </w:p>
    <w:p w:rsidR="008A4350" w:rsidRPr="008A4350" w:rsidRDefault="008A4350" w:rsidP="008A4350">
      <w:pPr>
        <w:spacing w:before="100" w:beforeAutospacing="1" w:after="100" w:afterAutospacing="1" w:line="240" w:lineRule="auto"/>
        <w:rPr>
          <w:rFonts w:ascii="Arabic Typesetting" w:hAnsi="Arabic Typesetting" w:cs="Arabic Typesetting"/>
          <w:sz w:val="44"/>
          <w:szCs w:val="44"/>
        </w:rPr>
      </w:pPr>
      <w:r w:rsidRPr="008A4350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 xml:space="preserve">Jest to także dzień </w:t>
      </w:r>
      <w:r w:rsidRPr="008A4350">
        <w:rPr>
          <w:rFonts w:ascii="Arabic Typesetting" w:hAnsi="Arabic Typesetting" w:cs="Arabic Typesetting"/>
          <w:color w:val="000000" w:themeColor="text1"/>
          <w:sz w:val="44"/>
          <w:szCs w:val="44"/>
        </w:rPr>
        <w:t xml:space="preserve">ochrony </w:t>
      </w:r>
      <w:hyperlink r:id="rId10" w:tooltip="Własność intelektualna" w:history="1">
        <w:r w:rsidRPr="008A4350">
          <w:rPr>
            <w:rFonts w:ascii="Arabic Typesetting" w:hAnsi="Arabic Typesetting" w:cs="Arabic Typesetting"/>
            <w:color w:val="000000" w:themeColor="text1"/>
            <w:sz w:val="44"/>
            <w:szCs w:val="44"/>
          </w:rPr>
          <w:t>własności intelektualne</w:t>
        </w:r>
      </w:hyperlink>
      <w:r w:rsidRPr="008A4350">
        <w:rPr>
          <w:rFonts w:ascii="Arabic Typesetting" w:hAnsi="Arabic Typesetting" w:cs="Arabic Typesetting"/>
          <w:color w:val="000000" w:themeColor="text1"/>
          <w:sz w:val="44"/>
          <w:szCs w:val="44"/>
        </w:rPr>
        <w:t>j</w:t>
      </w:r>
      <w:r w:rsidRPr="008A4350">
        <w:rPr>
          <w:rFonts w:ascii="Arabic Typesetting" w:hAnsi="Arabic Typesetting" w:cs="Arabic Typesetting"/>
          <w:sz w:val="44"/>
          <w:szCs w:val="44"/>
        </w:rPr>
        <w:t xml:space="preserve"> - </w:t>
      </w:r>
      <w:r w:rsidRPr="008A4350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 xml:space="preserve">praw autorskich. </w:t>
      </w:r>
      <w:r w:rsidRPr="008A4350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Bez nich rynek wydawniczy książek z pewnością by nie istniał. </w:t>
      </w:r>
      <w:r w:rsidR="00137039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                   </w:t>
      </w:r>
      <w:r w:rsidRPr="008A4350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>P</w:t>
      </w:r>
      <w:r w:rsidRPr="008A4350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>rawo autorskie</w:t>
      </w:r>
      <w:r w:rsidRPr="008A4350">
        <w:rPr>
          <w:rFonts w:ascii="Arabic Typesetting" w:eastAsia="Times New Roman" w:hAnsi="Arabic Typesetting" w:cs="Arabic Typesetting"/>
          <w:sz w:val="44"/>
          <w:szCs w:val="44"/>
          <w:lang w:eastAsia="pl-PL"/>
        </w:rPr>
        <w:t xml:space="preserve"> to </w:t>
      </w:r>
      <w:r w:rsidRPr="008A4350">
        <w:rPr>
          <w:rFonts w:ascii="Arabic Typesetting" w:hAnsi="Arabic Typesetting" w:cs="Arabic Typesetting"/>
          <w:color w:val="000000" w:themeColor="text1"/>
          <w:sz w:val="44"/>
          <w:szCs w:val="44"/>
        </w:rPr>
        <w:t xml:space="preserve">ogół </w:t>
      </w:r>
      <w:hyperlink r:id="rId11" w:tooltip="Prawo podmiotowe" w:history="1">
        <w:r w:rsidRPr="008A4350">
          <w:rPr>
            <w:rStyle w:val="Hipercze"/>
            <w:rFonts w:ascii="Arabic Typesetting" w:hAnsi="Arabic Typesetting" w:cs="Arabic Typesetting"/>
            <w:color w:val="000000" w:themeColor="text1"/>
            <w:sz w:val="44"/>
            <w:szCs w:val="44"/>
            <w:u w:val="none"/>
          </w:rPr>
          <w:t>praw</w:t>
        </w:r>
      </w:hyperlink>
      <w:r>
        <w:rPr>
          <w:rFonts w:ascii="Arabic Typesetting" w:hAnsi="Arabic Typesetting" w:cs="Arabic Typesetting"/>
          <w:color w:val="000000" w:themeColor="text1"/>
          <w:sz w:val="44"/>
          <w:szCs w:val="44"/>
        </w:rPr>
        <w:t xml:space="preserve"> </w:t>
      </w:r>
      <w:r w:rsidRPr="008A4350">
        <w:rPr>
          <w:rFonts w:ascii="Arabic Typesetting" w:hAnsi="Arabic Typesetting" w:cs="Arabic Typesetting"/>
          <w:color w:val="000000" w:themeColor="text1"/>
          <w:sz w:val="44"/>
          <w:szCs w:val="44"/>
        </w:rPr>
        <w:t xml:space="preserve">przysługujących </w:t>
      </w:r>
      <w:hyperlink r:id="rId12" w:tooltip="Autor" w:history="1">
        <w:r w:rsidRPr="008A4350">
          <w:rPr>
            <w:rStyle w:val="Hipercze"/>
            <w:rFonts w:ascii="Arabic Typesetting" w:hAnsi="Arabic Typesetting" w:cs="Arabic Typesetting"/>
            <w:color w:val="000000" w:themeColor="text1"/>
            <w:sz w:val="44"/>
            <w:szCs w:val="44"/>
            <w:u w:val="none"/>
          </w:rPr>
          <w:t>autorowi</w:t>
        </w:r>
      </w:hyperlink>
      <w:r w:rsidRPr="008A4350">
        <w:rPr>
          <w:rFonts w:ascii="Arabic Typesetting" w:hAnsi="Arabic Typesetting" w:cs="Arabic Typesetting"/>
          <w:color w:val="000000" w:themeColor="text1"/>
          <w:sz w:val="44"/>
          <w:szCs w:val="44"/>
        </w:rPr>
        <w:t xml:space="preserve"> utworu upoważniających go do decydowania </w:t>
      </w:r>
      <w:r w:rsidRPr="008A4350">
        <w:rPr>
          <w:rFonts w:ascii="Arabic Typesetting" w:hAnsi="Arabic Typesetting" w:cs="Arabic Typesetting"/>
          <w:sz w:val="44"/>
          <w:szCs w:val="44"/>
        </w:rPr>
        <w:t>o wykorzystaniu utworu i czerpaniu z niego korzyści.</w:t>
      </w:r>
    </w:p>
    <w:p w:rsidR="008A4350" w:rsidRPr="00137039" w:rsidRDefault="008A4350" w:rsidP="00773F31">
      <w:pPr>
        <w:spacing w:before="100" w:beforeAutospacing="1" w:after="100" w:afterAutospacing="1" w:line="240" w:lineRule="auto"/>
        <w:jc w:val="both"/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</w:pPr>
    </w:p>
    <w:p w:rsidR="001E5347" w:rsidRPr="00137039" w:rsidRDefault="001E5347" w:rsidP="00773F31">
      <w:pPr>
        <w:spacing w:before="100" w:beforeAutospacing="1" w:after="100" w:afterAutospacing="1" w:line="240" w:lineRule="auto"/>
        <w:jc w:val="both"/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</w:pPr>
      <w:r w:rsidRPr="00137039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49AEA749" wp14:editId="4C54774E">
            <wp:simplePos x="0" y="0"/>
            <wp:positionH relativeFrom="column">
              <wp:posOffset>2186305</wp:posOffset>
            </wp:positionH>
            <wp:positionV relativeFrom="paragraph">
              <wp:posOffset>821055</wp:posOffset>
            </wp:positionV>
            <wp:extent cx="1943100" cy="1203325"/>
            <wp:effectExtent l="0" t="0" r="0" b="0"/>
            <wp:wrapNone/>
            <wp:docPr id="4" name="Obraz 4" descr="http://www.unesco.org/new/fileadmin/MULTIMEDIA/HQ/ERI/pdf/Map-226x140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sco.org/new/fileadmin/MULTIMEDIA/HQ/ERI/pdf/Map-226x140b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31" w:rsidRPr="00137039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>Światowy Dzień Książki i Praw Autorskich obchodzony jest w ponad 100 krajach na całym świecie.</w:t>
      </w:r>
    </w:p>
    <w:p w:rsidR="00B551E8" w:rsidRPr="001E5347" w:rsidRDefault="00B551E8" w:rsidP="00773F31">
      <w:pPr>
        <w:spacing w:before="100" w:beforeAutospacing="1" w:after="100" w:afterAutospacing="1" w:line="240" w:lineRule="auto"/>
        <w:jc w:val="both"/>
        <w:rPr>
          <w:rFonts w:ascii="Arabic Typesetting" w:eastAsia="Times New Roman" w:hAnsi="Arabic Typesetting" w:cs="Arabic Typesetting"/>
          <w:bCs/>
          <w:sz w:val="40"/>
          <w:szCs w:val="40"/>
          <w:lang w:eastAsia="pl-PL"/>
        </w:rPr>
      </w:pPr>
    </w:p>
    <w:p w:rsidR="001E5347" w:rsidRDefault="001E5347" w:rsidP="0077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5347" w:rsidRDefault="001E5347" w:rsidP="0077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51E8" w:rsidRDefault="00B551E8" w:rsidP="00773F31">
      <w:pPr>
        <w:spacing w:before="100" w:beforeAutospacing="1" w:after="100" w:afterAutospacing="1" w:line="240" w:lineRule="auto"/>
        <w:jc w:val="both"/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</w:pPr>
    </w:p>
    <w:p w:rsidR="00137039" w:rsidRDefault="00773F31" w:rsidP="00773F31">
      <w:pPr>
        <w:spacing w:before="100" w:beforeAutospacing="1" w:after="100" w:afterAutospacing="1" w:line="240" w:lineRule="auto"/>
        <w:jc w:val="both"/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</w:pPr>
      <w:r w:rsidRPr="001E5347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>To święto wszystkich czytelników i</w:t>
      </w:r>
      <w:r w:rsidR="008A0E7F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 xml:space="preserve"> miłośników książek. </w:t>
      </w:r>
    </w:p>
    <w:p w:rsidR="00773F31" w:rsidRDefault="008A0E7F" w:rsidP="00773F31">
      <w:pPr>
        <w:spacing w:before="100" w:beforeAutospacing="1" w:after="100" w:afterAutospacing="1" w:line="240" w:lineRule="auto"/>
        <w:jc w:val="both"/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</w:pPr>
      <w:r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>W tym dniu</w:t>
      </w:r>
      <w:r w:rsidR="001E5347" w:rsidRPr="001E5347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 xml:space="preserve"> biblioteki i inne instytucje kultury organizują</w:t>
      </w:r>
      <w:r w:rsidR="00773F31" w:rsidRPr="00C1598B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 xml:space="preserve"> mnóstwo wydarzeń </w:t>
      </w:r>
      <w:r w:rsidR="00B262E9" w:rsidRPr="001E5347">
        <w:rPr>
          <w:rFonts w:ascii="Arabic Typesetting" w:hAnsi="Arabic Typesetting" w:cs="Arabic Typesetting"/>
          <w:sz w:val="44"/>
          <w:szCs w:val="44"/>
        </w:rPr>
        <w:t>czytelniczych</w:t>
      </w:r>
      <w:r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>, spotkań z pisarzami</w:t>
      </w:r>
      <w:r w:rsidR="00773F31" w:rsidRPr="00C1598B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oraz</w:t>
      </w:r>
      <w:r w:rsidR="00B262E9" w:rsidRPr="001E5347">
        <w:rPr>
          <w:rFonts w:ascii="Arabic Typesetting" w:hAnsi="Arabic Typesetting" w:cs="Arabic Typesetting"/>
          <w:sz w:val="44"/>
          <w:szCs w:val="44"/>
        </w:rPr>
        <w:t xml:space="preserve"> innych atrakcji, a</w:t>
      </w:r>
      <w:r w:rsidR="00B262E9" w:rsidRPr="001E5347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 xml:space="preserve"> </w:t>
      </w:r>
      <w:r w:rsidR="00B262E9" w:rsidRPr="00C1598B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>księgarnie przygotowują akcje promocyjne</w:t>
      </w:r>
      <w:r w:rsidR="00B262E9" w:rsidRPr="001E5347">
        <w:rPr>
          <w:rFonts w:ascii="Arabic Typesetting" w:eastAsia="Times New Roman" w:hAnsi="Arabic Typesetting" w:cs="Arabic Typesetting"/>
          <w:bCs/>
          <w:sz w:val="44"/>
          <w:szCs w:val="44"/>
          <w:lang w:eastAsia="pl-PL"/>
        </w:rPr>
        <w:t>.</w:t>
      </w:r>
    </w:p>
    <w:p w:rsidR="00C1598B" w:rsidRPr="008A0E7F" w:rsidRDefault="00C1598B">
      <w:pPr>
        <w:rPr>
          <w:sz w:val="44"/>
          <w:szCs w:val="44"/>
        </w:rPr>
      </w:pPr>
    </w:p>
    <w:sectPr w:rsidR="00C1598B" w:rsidRPr="008A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C64"/>
    <w:multiLevelType w:val="multilevel"/>
    <w:tmpl w:val="70F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17908"/>
    <w:multiLevelType w:val="multilevel"/>
    <w:tmpl w:val="F6D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0354A"/>
    <w:multiLevelType w:val="multilevel"/>
    <w:tmpl w:val="0BFAC5C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46"/>
    <w:rsid w:val="00137039"/>
    <w:rsid w:val="001E5347"/>
    <w:rsid w:val="004A4FAD"/>
    <w:rsid w:val="006A50ED"/>
    <w:rsid w:val="00773F31"/>
    <w:rsid w:val="007A40A6"/>
    <w:rsid w:val="008A0E7F"/>
    <w:rsid w:val="008A4350"/>
    <w:rsid w:val="00AD2146"/>
    <w:rsid w:val="00B262E9"/>
    <w:rsid w:val="00B551E8"/>
    <w:rsid w:val="00B6060F"/>
    <w:rsid w:val="00C1598B"/>
    <w:rsid w:val="00CB1E0C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55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5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nabokov-vladimir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C5%9Bwiatowy+dzie%C5%84+ksi%C4%85%C5%BCki+i+praw+autorskich+2020&amp;client=firefox-b-d&amp;tbm=isch&amp;source=iu&amp;ictx=1&amp;fir=X6jwWN5LpCfUnM%253A%252C230nhK8X5si0JM%252C_&amp;vet=1&amp;usg=AI4_-kQUeKfGjAp6akVB8ZuJH560nhYXWQ&amp;sa=X&amp;ved=2ahUKEwjP9caH2_foAhVTmMMKHZ2TADQQ9QEwAHoECAcQAw" TargetMode="External"/><Relationship Id="rId12" Type="http://schemas.openxmlformats.org/officeDocument/2006/relationships/hyperlink" Target="https://pl.wikipedia.org/wiki/Au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Prawo_podmiotow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W%C5%82asno%C5%9B%C4%87_intelektual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ndalf.com.pl/os/druon-mauri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2020-04-20T17:58:00Z</dcterms:created>
  <dcterms:modified xsi:type="dcterms:W3CDTF">2020-04-20T20:49:00Z</dcterms:modified>
</cp:coreProperties>
</file>